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Location: </w:t>
      </w:r>
      <w:r w:rsidDel="00000000" w:rsidR="00000000" w:rsidRPr="00000000">
        <w:rPr>
          <w:rFonts w:ascii="Garamond" w:cs="Garamond" w:eastAsia="Garamond" w:hAnsi="Garamond"/>
          <w:color w:val="000000"/>
          <w:sz w:val="21"/>
          <w:szCs w:val="21"/>
          <w:rtl w:val="0"/>
        </w:rPr>
        <w:t xml:space="preserve">Horizons at The Ethel Walker School (or vir</w:t>
      </w:r>
      <w:r w:rsidDel="00000000" w:rsidR="00000000" w:rsidRPr="00000000">
        <w:rPr>
          <w:rFonts w:ascii="Garamond" w:cs="Garamond" w:eastAsia="Garamond" w:hAnsi="Garamond"/>
          <w:sz w:val="21"/>
          <w:szCs w:val="21"/>
          <w:rtl w:val="0"/>
        </w:rPr>
        <w:t xml:space="preserve">tual</w:t>
      </w:r>
      <w:r w:rsidDel="00000000" w:rsidR="00000000" w:rsidRPr="00000000">
        <w:rPr>
          <w:rFonts w:ascii="Garamond" w:cs="Garamond" w:eastAsia="Garamond" w:hAnsi="Garamond"/>
          <w:color w:val="000000"/>
          <w:sz w:val="21"/>
          <w:szCs w:val="21"/>
          <w:rtl w:val="0"/>
        </w:rPr>
        <w:t xml:space="preserve">)</w:t>
      </w:r>
      <w:r w:rsidDel="00000000" w:rsidR="00000000" w:rsidRPr="00000000">
        <w:rPr>
          <w:rtl w:val="0"/>
        </w:rPr>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Job Title: </w:t>
      </w:r>
      <w:r w:rsidDel="00000000" w:rsidR="00000000" w:rsidRPr="00000000">
        <w:rPr>
          <w:rFonts w:ascii="Garamond" w:cs="Garamond" w:eastAsia="Garamond" w:hAnsi="Garamond"/>
          <w:color w:val="000000"/>
          <w:sz w:val="21"/>
          <w:szCs w:val="21"/>
          <w:rtl w:val="0"/>
        </w:rPr>
        <w:t xml:space="preserve">Assistant Teacher</w:t>
        <w:tab/>
        <w:tab/>
        <w:tab/>
        <w:tab/>
      </w:r>
      <w:r w:rsidDel="00000000" w:rsidR="00000000" w:rsidRPr="00000000">
        <w:rPr>
          <w:rFonts w:ascii="Garamond" w:cs="Garamond" w:eastAsia="Garamond" w:hAnsi="Garamond"/>
          <w:b w:val="1"/>
          <w:color w:val="000000"/>
          <w:sz w:val="21"/>
          <w:szCs w:val="21"/>
          <w:rtl w:val="0"/>
        </w:rPr>
        <w:t xml:space="preserve">Salary: </w:t>
      </w:r>
      <w:r w:rsidDel="00000000" w:rsidR="00000000" w:rsidRPr="00000000">
        <w:rPr>
          <w:rFonts w:ascii="Garamond" w:cs="Garamond" w:eastAsia="Garamond" w:hAnsi="Garamond"/>
          <w:color w:val="000000"/>
          <w:sz w:val="21"/>
          <w:szCs w:val="21"/>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Level/Grade:</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sz w:val="21"/>
          <w:szCs w:val="21"/>
          <w:rtl w:val="0"/>
        </w:rPr>
        <w:t xml:space="preserve">Fourth</w:t>
      </w:r>
      <w:r w:rsidDel="00000000" w:rsidR="00000000" w:rsidRPr="00000000">
        <w:rPr>
          <w:rFonts w:ascii="Garamond" w:cs="Garamond" w:eastAsia="Garamond" w:hAnsi="Garamond"/>
          <w:color w:val="000000"/>
          <w:sz w:val="21"/>
          <w:szCs w:val="21"/>
          <w:rtl w:val="0"/>
        </w:rPr>
        <w:t xml:space="preserve"> Grade</w:t>
        <w:tab/>
        <w:tab/>
        <w:tab/>
        <w:tab/>
      </w:r>
      <w:r w:rsidDel="00000000" w:rsidR="00000000" w:rsidRPr="00000000">
        <w:rPr>
          <w:rFonts w:ascii="Garamond" w:cs="Garamond" w:eastAsia="Garamond" w:hAnsi="Garamond"/>
          <w:b w:val="1"/>
          <w:color w:val="000000"/>
          <w:sz w:val="21"/>
          <w:szCs w:val="21"/>
          <w:rtl w:val="0"/>
        </w:rPr>
        <w:t xml:space="preserve">Type of Position: </w:t>
      </w:r>
      <w:r w:rsidDel="00000000" w:rsidR="00000000" w:rsidRPr="00000000">
        <w:rPr>
          <w:rFonts w:ascii="Garamond" w:cs="Garamond" w:eastAsia="Garamond" w:hAnsi="Garamond"/>
          <w:color w:val="000000"/>
          <w:sz w:val="21"/>
          <w:szCs w:val="21"/>
          <w:rtl w:val="0"/>
        </w:rPr>
        <w:t xml:space="preserve">Full-Time Summer</w:t>
      </w:r>
    </w:p>
    <w:p w:rsidR="00000000" w:rsidDel="00000000" w:rsidP="00000000" w:rsidRDefault="00000000" w:rsidRPr="00000000" w14:paraId="00000004">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Horizons at The Ethel Walker School is looking for mature, dedicated and enthusiastic individuals for the Lead Teacher position. Candidates should be able to help create and nurture a lifelong love of knowledge in children. Horizons seeks a professional, caring individual with the ability to help implement strategies to engage students in active learning through non-traditional ways. Candidate must work as a team player to help fulfill the Horizons mission.</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The mission of Horizons at The Ethel Walker School</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General Description</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to the </w:t>
      </w:r>
      <w:r w:rsidDel="00000000" w:rsidR="00000000" w:rsidRPr="00000000">
        <w:rPr>
          <w:rFonts w:ascii="Garamond" w:cs="Garamond" w:eastAsia="Garamond" w:hAnsi="Garamond"/>
          <w:sz w:val="21"/>
          <w:szCs w:val="21"/>
          <w:rtl w:val="0"/>
        </w:rPr>
        <w:t xml:space="preserve">Fourth</w:t>
      </w:r>
      <w:r w:rsidDel="00000000" w:rsidR="00000000" w:rsidRPr="00000000">
        <w:rPr>
          <w:rFonts w:ascii="Garamond" w:cs="Garamond" w:eastAsia="Garamond" w:hAnsi="Garamond"/>
          <w:color w:val="000000"/>
          <w:sz w:val="21"/>
          <w:szCs w:val="21"/>
          <w:rtl w:val="0"/>
        </w:rPr>
        <w:t xml:space="preserve"> Grade Lead Teacher.</w:t>
      </w:r>
    </w:p>
    <w:p w:rsidR="00000000" w:rsidDel="00000000" w:rsidP="00000000" w:rsidRDefault="00000000" w:rsidRPr="00000000" w14:paraId="0000000F">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Aid in the classroom duties of teaching and caring for approximately 15 students during a six week summer enrichment program.</w:t>
      </w:r>
    </w:p>
    <w:p w:rsidR="00000000" w:rsidDel="00000000" w:rsidP="00000000" w:rsidRDefault="00000000" w:rsidRPr="00000000" w14:paraId="00000010">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Responsible for helping to </w:t>
      </w:r>
      <w:r w:rsidDel="00000000" w:rsidR="00000000" w:rsidRPr="00000000">
        <w:rPr>
          <w:rFonts w:ascii="Garamond" w:cs="Garamond" w:eastAsia="Garamond" w:hAnsi="Garamond"/>
          <w:sz w:val="21"/>
          <w:szCs w:val="21"/>
          <w:rtl w:val="0"/>
        </w:rPr>
        <w:t xml:space="preserve">plan the daily</w:t>
      </w:r>
      <w:r w:rsidDel="00000000" w:rsidR="00000000" w:rsidRPr="00000000">
        <w:rPr>
          <w:rFonts w:ascii="Garamond" w:cs="Garamond" w:eastAsia="Garamond" w:hAnsi="Garamond"/>
          <w:color w:val="000000"/>
          <w:sz w:val="21"/>
          <w:szCs w:val="21"/>
          <w:rtl w:val="0"/>
        </w:rPr>
        <w:t xml:space="preserve"> classroom schedule and assisting in instruction.</w:t>
      </w:r>
    </w:p>
    <w:p w:rsidR="00000000" w:rsidDel="00000000" w:rsidP="00000000" w:rsidRDefault="00000000" w:rsidRPr="00000000" w14:paraId="00000011">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Work in partnership with approximately three volunteers in the classroom each day.</w:t>
      </w:r>
    </w:p>
    <w:p w:rsidR="00000000" w:rsidDel="00000000" w:rsidP="00000000" w:rsidRDefault="00000000" w:rsidRPr="00000000" w14:paraId="00000012">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Attend daily swim instruction lessons with students providing encouragement to students.</w:t>
      </w:r>
    </w:p>
    <w:p w:rsidR="00000000" w:rsidDel="00000000" w:rsidP="00000000" w:rsidRDefault="00000000" w:rsidRPr="00000000" w14:paraId="00000013">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Participate with students in physical education classes providing help and support to the Lead Teacher and his/her volunteers.</w:t>
      </w:r>
    </w:p>
    <w:p w:rsidR="00000000" w:rsidDel="00000000" w:rsidP="00000000" w:rsidRDefault="00000000" w:rsidRPr="00000000" w14:paraId="00000014">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Teachers are required to attend all field trips, participate in daily meals with the students, attend Family Night, Faculty Meetings as well as all other duties that may be required by their supervisor.</w:t>
      </w:r>
    </w:p>
    <w:p w:rsidR="00000000" w:rsidDel="00000000" w:rsidP="00000000" w:rsidRDefault="00000000" w:rsidRPr="00000000" w14:paraId="000000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Experience working with elementary aged children. A student with an Elementary Education major preferred.</w:t>
      </w:r>
    </w:p>
    <w:p w:rsidR="00000000" w:rsidDel="00000000" w:rsidP="00000000" w:rsidRDefault="00000000" w:rsidRPr="00000000" w14:paraId="00000018">
      <w:pPr>
        <w:numPr>
          <w:ilvl w:val="0"/>
          <w:numId w:val="2"/>
        </w:numPr>
        <w:ind w:left="720" w:hanging="360"/>
        <w:rPr>
          <w:rFonts w:ascii="Garamond" w:cs="Garamond" w:eastAsia="Garamond" w:hAnsi="Garamond"/>
          <w:color w:val="000000"/>
          <w:sz w:val="21"/>
          <w:szCs w:val="21"/>
        </w:rPr>
      </w:pPr>
      <w:bookmarkStart w:colFirst="0" w:colLast="0" w:name="_gjdgxs" w:id="0"/>
      <w:bookmarkEnd w:id="0"/>
      <w:r w:rsidDel="00000000" w:rsidR="00000000" w:rsidRPr="00000000">
        <w:rPr>
          <w:rFonts w:ascii="Garamond" w:cs="Garamond" w:eastAsia="Garamond" w:hAnsi="Garamond"/>
          <w:color w:val="000000"/>
          <w:sz w:val="21"/>
          <w:szCs w:val="21"/>
          <w:rtl w:val="0"/>
        </w:rPr>
        <w:t xml:space="preserve">A strong passion for girls education.</w:t>
      </w:r>
      <w:r w:rsidDel="00000000" w:rsidR="00000000" w:rsidRPr="00000000">
        <w:rPr>
          <w:rtl w:val="0"/>
        </w:rPr>
      </w:r>
    </w:p>
    <w:p w:rsidR="00000000" w:rsidDel="00000000" w:rsidP="00000000" w:rsidRDefault="00000000" w:rsidRPr="00000000" w14:paraId="00000019">
      <w:pP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Dates:</w:t>
      </w:r>
      <w:r w:rsidDel="00000000" w:rsidR="00000000" w:rsidRPr="00000000">
        <w:rPr>
          <w:rtl w:val="0"/>
        </w:rPr>
      </w:r>
    </w:p>
    <w:p w:rsidR="00000000" w:rsidDel="00000000" w:rsidP="00000000" w:rsidRDefault="00000000" w:rsidRPr="00000000" w14:paraId="0000001B">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Thursday, July 1 &amp; Friday, July 2 - Teacher orientation and classroom set-up</w:t>
      </w:r>
    </w:p>
    <w:p w:rsidR="00000000" w:rsidDel="00000000" w:rsidP="00000000" w:rsidRDefault="00000000" w:rsidRPr="00000000" w14:paraId="0000001C">
      <w:pPr>
        <w:ind w:left="360" w:firstLine="0"/>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Arial" w:cs="Arial" w:eastAsia="Arial" w:hAnsi="Arial"/>
        <w:b w:val="1"/>
        <w:color w:val="0b5394"/>
        <w:sz w:val="36"/>
        <w:szCs w:val="36"/>
      </w:rPr>
      <w:drawing>
        <wp:inline distB="0" distT="0" distL="0" distR="0">
          <wp:extent cx="1833563" cy="1049009"/>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11261" l="0" r="1324" t="0"/>
                  <a:stretch>
                    <a:fillRect/>
                  </a:stretch>
                </pic:blipFill>
                <pic:spPr>
                  <a:xfrm>
                    <a:off x="0" y="0"/>
                    <a:ext cx="1833563" cy="104900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